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7C" w:rsidRP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u w:val="single"/>
          <w:lang w:eastAsia="de-DE"/>
        </w:rPr>
      </w:pPr>
      <w:r w:rsidRPr="00E32B7C">
        <w:rPr>
          <w:rFonts w:ascii="UniversLT" w:eastAsia="Times New Roman" w:hAnsi="UniversLT" w:cs="UniversLT"/>
          <w:b/>
          <w:sz w:val="20"/>
          <w:szCs w:val="20"/>
          <w:u w:val="single"/>
          <w:lang w:eastAsia="de-DE"/>
        </w:rPr>
        <w:t>Einbauanleitung</w:t>
      </w:r>
      <w:bookmarkStart w:id="0" w:name="_GoBack"/>
      <w:r w:rsidRPr="00E32B7C">
        <w:rPr>
          <w:rFonts w:ascii="UniversLT" w:eastAsia="Times New Roman" w:hAnsi="UniversLT" w:cs="UniversLT"/>
          <w:b/>
          <w:sz w:val="20"/>
          <w:szCs w:val="20"/>
          <w:u w:val="single"/>
          <w:lang w:eastAsia="de-DE"/>
        </w:rPr>
        <w:t xml:space="preserve"> </w:t>
      </w:r>
      <w:bookmarkEnd w:id="0"/>
      <w:r w:rsidRPr="00E32B7C">
        <w:rPr>
          <w:rFonts w:ascii="UniversLT" w:eastAsia="Times New Roman" w:hAnsi="UniversLT" w:cs="UniversLT"/>
          <w:b/>
          <w:sz w:val="20"/>
          <w:szCs w:val="20"/>
          <w:u w:val="single"/>
          <w:lang w:eastAsia="de-DE"/>
        </w:rPr>
        <w:t xml:space="preserve">Schotterrasen: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Der Einbau erfolgt bei einer Verdichtung von &lt; 95 %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DPr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. (Vorgabe FLL Richtlinie) durch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Anwalzen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mit der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Vibrationswalze oder Überfahren mit der Rüttelplatte. Hierbei müssen Werte &gt; 45 MPa/m</w:t>
      </w:r>
      <w:r>
        <w:rPr>
          <w:rFonts w:ascii="UniversLT" w:eastAsia="Times New Roman" w:hAnsi="UniversLT" w:cs="UniversLT"/>
          <w:b/>
          <w:sz w:val="13"/>
          <w:szCs w:val="13"/>
          <w:lang w:eastAsia="de-DE"/>
        </w:rPr>
        <w:t xml:space="preserve">2 </w:t>
      </w: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im EV2 Wert des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Lastplattendruckversuches erreicht werden. Empfehlenswert ist eine Deckelung bei ca. 70 MPa/m².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Bei Werten über 95 %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DPr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. erhöht sich die Tragfähigkeit auf 80 – 100 MPa/m</w:t>
      </w:r>
      <w:r>
        <w:rPr>
          <w:rFonts w:ascii="UniversLT" w:eastAsia="Times New Roman" w:hAnsi="UniversLT" w:cs="UniversLT"/>
          <w:b/>
          <w:sz w:val="13"/>
          <w:szCs w:val="13"/>
          <w:lang w:eastAsia="de-DE"/>
        </w:rPr>
        <w:t xml:space="preserve">2 </w:t>
      </w: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(FW Version bis 115 MPa/m</w:t>
      </w:r>
      <w:r>
        <w:rPr>
          <w:rFonts w:ascii="UniversLT" w:eastAsia="Times New Roman" w:hAnsi="UniversLT" w:cs="UniversLT"/>
          <w:b/>
          <w:sz w:val="13"/>
          <w:szCs w:val="13"/>
          <w:lang w:eastAsia="de-DE"/>
        </w:rPr>
        <w:t>2</w:t>
      </w: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).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Dies geht allerdings zu Lasten des Grasaufwuchses. Daher ist mit dem Bauherrn im Vorfeld zu klären,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ob der Grüneffekt oder die Fahrspurenresistenz im Vordergrund steht.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Um einen Transfer des Wassers aus dem Substrat in den Boden bzw. die Tragschicht und umgekehrt zu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gewährleisten, ist die Verzahnung der beiden Schichten wichtig. Hierzu wird die Oberfläche des Bodens oder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der Tragschicht vor dem Aufbringen des Substrates angeraut.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Die Einsaat erfolgt bevorzugt in das oberflächlich aufgelockerte Schotterrasensubstrat. Weiterhin ist der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Einsatz eines Keimsubstrates (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Vulkaterra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Rasen 0-4) in 1-3 cm Stärke denkbar.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Nach der Einsaat mit RSM Saatgut 5.1 oder 2.2.1 bzw. 2.2.2,  ist auf eine optimale Wasserversorgung in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der Keimphase (dauert bis zu 4 Wochen) zu achten, da sich in dieser Phase entscheidet, ob alle Grasarten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der Mischung Fuß fassen können. Ausfälle bei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Ansaaten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sind daher nicht auf einen Mangel des Substrates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zurückzuführen. Bei der Wässerung ist die Wassermenge pro Zeiteinheit so zu wählen, dass kein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Oberflächenabfluss entsteht und die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Tröpfchengröße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so einzustellen, dass keine Verschlämmung in der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Oberfläche verursacht wird.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Mit der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Ansaat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erfolgt in der Regel eine Startdüngung. Diese sollte mit 30-60g/m² NPK Dünger erfolgen und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eine Wirkdauer von mind. 6 Wochen aufweisen (z. B.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Rasenfloranid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der Fa.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Compo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). Alternativ kann ein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umhüllter Depotdünger mit einer Wirkdauer von 6-9 Monaten gewählt werden, der mit einer Düngermenge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von 60-120 g/m² ausgebracht wird. Es dürfen keine landwirtschaftlichen Dünger mit Kalium Chlorid verwendet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werden. Wird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Rasenfloranid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oder ein adäquates Substitut verwendet, ist bei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Frühjahrsansaaten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eine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Nachdüngung im Juli/August notwendig. Eine kaliumbetonte Herbstdüngung hat sich zudem bewährt.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Weitere Wässerungsgänge in langen Trockenperioden, sind zum Erhalt der Grasnarbe sinnvoll. Gewässert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wird, wenn das Gras bei der Begehung sich nicht mehr aufrichtet oder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Welkeerscheinungen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deutlich sichtbar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werden. Es ist durchdringend zu wässern, um eine Tiefeneinwurzelung zu fördern. Im Rahmen der Wässerung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ist die Eindringtiefe des Wassers zu überprüfen. Angestrebt wird eine Mindesttiefe von 10 cm.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Die Häufigkeit des Schnittes richtet sich nach der Schnitthöhe und ergibt sich aus der Formel: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          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                    Zeitpunkt des Schnitts = Schnitthöhe + max. 0.5 Schnitthöhe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Hieraus ergibt sich, dass ein 4 cm Rasen bei 6 cm geschnitten werden muss. Bei 3 cm Schnitthöhe erfolgt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lastRenderedPageBreak/>
        <w:t xml:space="preserve">der Schnitt bei 4,5 cm Aufwuchs. Daraus ergibt sich ein um 25% verkürztes Zeitfenster. Bei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Mulchmaht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sind geringere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Aufwuchshöhen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und somit kürzere Schnittintervalle ratsam, damit die anfallende Biomasse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von den Bakterien verarbeitet werden kann. Zu späte Schnitte stressen den Rasen und reduzieren seine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Strapazierfähigkeit.</w:t>
      </w:r>
    </w:p>
    <w:p w:rsidR="008D65AB" w:rsidRDefault="008D65AB"/>
    <w:sectPr w:rsidR="008D6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7C"/>
    <w:rsid w:val="008D65AB"/>
    <w:rsid w:val="00E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B7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B7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1</cp:revision>
  <dcterms:created xsi:type="dcterms:W3CDTF">2017-04-27T15:16:00Z</dcterms:created>
  <dcterms:modified xsi:type="dcterms:W3CDTF">2017-04-27T15:17:00Z</dcterms:modified>
</cp:coreProperties>
</file>